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napToGrid w:val="0"/>
        <w:spacing w:before="0" w:beforeAutospacing="0" w:after="0" w:afterAutospacing="0" w:line="560" w:lineRule="exact"/>
        <w:ind w:left="0" w:right="0"/>
        <w:jc w:val="center"/>
        <w:rPr>
          <w:rFonts w:hint="eastAsia" w:ascii="宋体" w:hAnsi="宋体" w:eastAsia="宋体" w:cs="宋体"/>
          <w:b/>
          <w:bCs/>
          <w:kern w:val="0"/>
          <w:sz w:val="30"/>
          <w:szCs w:val="30"/>
          <w:lang w:val="en-US" w:eastAsia="zh-CN" w:bidi="ar"/>
        </w:rPr>
      </w:pPr>
    </w:p>
    <w:p>
      <w:pPr>
        <w:keepNext w:val="0"/>
        <w:keepLines w:val="0"/>
        <w:widowControl/>
        <w:suppressLineNumbers w:val="0"/>
        <w:adjustRightInd w:val="0"/>
        <w:snapToGrid w:val="0"/>
        <w:spacing w:before="0" w:beforeAutospacing="0" w:after="0" w:afterAutospacing="0" w:line="560" w:lineRule="exact"/>
        <w:ind w:left="0" w:right="0"/>
        <w:jc w:val="center"/>
        <w:rPr>
          <w:rFonts w:hint="eastAsia" w:ascii="宋体" w:hAnsi="宋体" w:eastAsia="宋体" w:cs="宋体"/>
          <w:b/>
          <w:bCs/>
          <w:kern w:val="0"/>
          <w:sz w:val="30"/>
          <w:szCs w:val="30"/>
          <w:lang w:val="en-US" w:eastAsia="zh-CN" w:bidi="ar"/>
        </w:rPr>
      </w:pPr>
    </w:p>
    <w:p>
      <w:pPr>
        <w:keepNext w:val="0"/>
        <w:keepLines w:val="0"/>
        <w:widowControl/>
        <w:suppressLineNumbers w:val="0"/>
        <w:adjustRightInd w:val="0"/>
        <w:snapToGrid w:val="0"/>
        <w:spacing w:before="0" w:beforeAutospacing="0" w:after="0" w:afterAutospacing="0" w:line="560" w:lineRule="exact"/>
        <w:ind w:left="0" w:right="0"/>
        <w:jc w:val="center"/>
        <w:rPr>
          <w:rFonts w:hint="eastAsia" w:ascii="宋体" w:hAnsi="宋体" w:eastAsia="宋体" w:cs="宋体"/>
          <w:b/>
          <w:bCs/>
          <w:kern w:val="0"/>
          <w:sz w:val="30"/>
          <w:szCs w:val="30"/>
          <w:lang w:val="en-US" w:eastAsia="zh-CN" w:bidi="ar"/>
        </w:rPr>
      </w:pPr>
    </w:p>
    <w:p>
      <w:pPr>
        <w:pStyle w:val="3"/>
        <w:spacing w:after="0" w:line="560" w:lineRule="exact"/>
        <w:ind w:left="0" w:leftChars="0" w:firstLine="0" w:firstLineChars="0"/>
        <w:jc w:val="both"/>
        <w:rPr>
          <w:rFonts w:hint="eastAsia" w:ascii="宋体" w:hAnsi="宋体" w:eastAsia="宋体" w:cs="宋体"/>
          <w:b/>
          <w:sz w:val="36"/>
          <w:szCs w:val="36"/>
          <w:lang w:eastAsia="zh-CN"/>
        </w:rPr>
      </w:pPr>
    </w:p>
    <w:p>
      <w:pPr>
        <w:pStyle w:val="3"/>
        <w:spacing w:after="0" w:line="560" w:lineRule="exact"/>
        <w:ind w:left="0" w:leftChars="0" w:firstLine="0" w:firstLineChars="0"/>
        <w:jc w:val="center"/>
        <w:rPr>
          <w:rFonts w:hint="eastAsia" w:ascii="宋体" w:hAnsi="宋体" w:eastAsia="宋体" w:cs="宋体"/>
          <w:b/>
          <w:bCs/>
          <w:kern w:val="0"/>
          <w:sz w:val="30"/>
          <w:szCs w:val="30"/>
          <w:lang w:val="en-US" w:eastAsia="zh-CN" w:bidi="ar"/>
        </w:rPr>
      </w:pPr>
      <w:r>
        <w:rPr>
          <w:rFonts w:hint="eastAsia" w:ascii="宋体" w:hAnsi="宋体" w:cs="宋体"/>
          <w:b w:val="0"/>
          <w:bCs/>
          <w:sz w:val="30"/>
          <w:szCs w:val="30"/>
          <w:lang w:eastAsia="zh-CN"/>
        </w:rPr>
        <w:t>经</w:t>
      </w:r>
      <w:r>
        <w:rPr>
          <w:rFonts w:hint="eastAsia" w:ascii="宋体" w:hAnsi="宋体" w:eastAsia="宋体" w:cs="宋体"/>
          <w:b w:val="0"/>
          <w:bCs/>
          <w:sz w:val="30"/>
          <w:szCs w:val="30"/>
          <w:lang w:eastAsia="zh-CN"/>
        </w:rPr>
        <w:t>管党字〔</w:t>
      </w:r>
      <w:r>
        <w:rPr>
          <w:rFonts w:hint="eastAsia" w:ascii="宋体" w:hAnsi="宋体" w:eastAsia="宋体" w:cs="宋体"/>
          <w:b w:val="0"/>
          <w:bCs/>
          <w:sz w:val="30"/>
          <w:szCs w:val="30"/>
          <w:lang w:val="en-US" w:eastAsia="zh-CN"/>
        </w:rPr>
        <w:t>201</w:t>
      </w:r>
      <w:r>
        <w:rPr>
          <w:rFonts w:hint="eastAsia" w:ascii="宋体" w:hAnsi="宋体" w:cs="宋体"/>
          <w:b w:val="0"/>
          <w:bCs/>
          <w:sz w:val="30"/>
          <w:szCs w:val="30"/>
          <w:lang w:val="en-US" w:eastAsia="zh-CN"/>
        </w:rPr>
        <w:t>9</w:t>
      </w:r>
      <w:r>
        <w:rPr>
          <w:rFonts w:hint="eastAsia" w:ascii="宋体" w:hAnsi="宋体" w:eastAsia="宋体" w:cs="宋体"/>
          <w:b w:val="0"/>
          <w:bCs/>
          <w:sz w:val="30"/>
          <w:szCs w:val="30"/>
          <w:lang w:eastAsia="zh-CN"/>
        </w:rPr>
        <w:t>〕</w:t>
      </w:r>
      <w:r>
        <w:rPr>
          <w:rFonts w:hint="eastAsia" w:ascii="宋体" w:hAnsi="宋体" w:cs="宋体"/>
          <w:b w:val="0"/>
          <w:bCs/>
          <w:sz w:val="30"/>
          <w:szCs w:val="30"/>
          <w:lang w:val="en-US" w:eastAsia="zh-CN"/>
        </w:rPr>
        <w:t>3</w:t>
      </w:r>
      <w:bookmarkStart w:id="0" w:name="_GoBack"/>
      <w:bookmarkEnd w:id="0"/>
      <w:r>
        <w:rPr>
          <w:rFonts w:hint="eastAsia" w:ascii="宋体" w:hAnsi="宋体" w:eastAsia="宋体" w:cs="宋体"/>
          <w:b w:val="0"/>
          <w:bCs/>
          <w:sz w:val="30"/>
          <w:szCs w:val="30"/>
          <w:lang w:val="en-US" w:eastAsia="zh-CN"/>
        </w:rPr>
        <w:t>号</w:t>
      </w:r>
    </w:p>
    <w:p>
      <w:pPr>
        <w:keepNext w:val="0"/>
        <w:keepLines w:val="0"/>
        <w:widowControl/>
        <w:suppressLineNumbers w:val="0"/>
        <w:adjustRightInd w:val="0"/>
        <w:snapToGrid w:val="0"/>
        <w:spacing w:before="0" w:beforeAutospacing="0" w:after="0" w:afterAutospacing="0" w:line="560" w:lineRule="exact"/>
        <w:ind w:left="0" w:right="0"/>
        <w:jc w:val="center"/>
        <w:rPr>
          <w:rFonts w:hint="eastAsia" w:ascii="宋体" w:hAnsi="宋体" w:eastAsia="宋体" w:cs="宋体"/>
          <w:b/>
          <w:bCs/>
          <w:kern w:val="0"/>
          <w:sz w:val="30"/>
          <w:szCs w:val="30"/>
          <w:lang w:val="en-US" w:eastAsia="zh-CN" w:bidi="ar"/>
        </w:rPr>
      </w:pPr>
    </w:p>
    <w:p>
      <w:pPr>
        <w:widowControl/>
        <w:spacing w:line="560" w:lineRule="exact"/>
        <w:ind w:firstLine="723" w:firstLineChars="200"/>
        <w:jc w:val="center"/>
        <w:rPr>
          <w:rFonts w:hint="eastAsia" w:ascii="宋体" w:hAnsi="宋体"/>
          <w:b/>
          <w:sz w:val="36"/>
          <w:szCs w:val="36"/>
          <w:lang w:eastAsia="zh-CN"/>
        </w:rPr>
      </w:pPr>
    </w:p>
    <w:p>
      <w:pPr>
        <w:widowControl/>
        <w:spacing w:line="560" w:lineRule="exact"/>
        <w:ind w:firstLine="723" w:firstLineChars="200"/>
        <w:jc w:val="left"/>
        <w:rPr>
          <w:rFonts w:ascii="宋体" w:hAnsi="宋体"/>
          <w:b/>
          <w:sz w:val="36"/>
          <w:szCs w:val="36"/>
        </w:rPr>
      </w:pPr>
      <w:r>
        <w:rPr>
          <w:rFonts w:hint="eastAsia" w:ascii="宋体" w:hAnsi="宋体"/>
          <w:b/>
          <w:sz w:val="36"/>
          <w:szCs w:val="36"/>
          <w:lang w:eastAsia="zh-CN"/>
        </w:rPr>
        <w:t>经济与管理学院</w:t>
      </w:r>
      <w:r>
        <w:rPr>
          <w:rFonts w:hint="eastAsia" w:ascii="宋体" w:hAnsi="宋体"/>
          <w:b/>
          <w:sz w:val="36"/>
          <w:szCs w:val="36"/>
        </w:rPr>
        <w:t>2019年度教职工政治理论</w:t>
      </w:r>
    </w:p>
    <w:p>
      <w:pPr>
        <w:jc w:val="center"/>
        <w:rPr>
          <w:rFonts w:ascii="宋体" w:hAnsi="宋体"/>
          <w:b/>
          <w:sz w:val="36"/>
          <w:szCs w:val="36"/>
        </w:rPr>
      </w:pPr>
      <w:r>
        <w:rPr>
          <w:rFonts w:hint="eastAsia" w:ascii="宋体" w:hAnsi="宋体"/>
          <w:b/>
          <w:sz w:val="36"/>
          <w:szCs w:val="36"/>
        </w:rPr>
        <w:t>学习计划</w:t>
      </w:r>
    </w:p>
    <w:p>
      <w:pPr>
        <w:spacing w:line="560" w:lineRule="exact"/>
        <w:ind w:firstLine="555"/>
        <w:rPr>
          <w:rFonts w:ascii="黑体" w:hAnsi="黑体" w:eastAsia="黑体" w:cs="宋体"/>
          <w:bCs/>
          <w:kern w:val="0"/>
          <w:sz w:val="30"/>
          <w:szCs w:val="30"/>
        </w:rPr>
      </w:pPr>
      <w:r>
        <w:rPr>
          <w:rFonts w:hint="eastAsia" w:ascii="黑体" w:hAnsi="黑体" w:eastAsia="黑体"/>
          <w:bCs/>
          <w:sz w:val="30"/>
          <w:szCs w:val="30"/>
        </w:rPr>
        <w:t>一、</w:t>
      </w:r>
      <w:r>
        <w:rPr>
          <w:rFonts w:hint="eastAsia" w:ascii="黑体" w:hAnsi="黑体" w:eastAsia="黑体" w:cs="宋体"/>
          <w:bCs/>
          <w:kern w:val="0"/>
          <w:sz w:val="30"/>
          <w:szCs w:val="30"/>
        </w:rPr>
        <w:t>学习内容</w:t>
      </w:r>
    </w:p>
    <w:p>
      <w:pPr>
        <w:widowControl/>
        <w:spacing w:line="560" w:lineRule="exact"/>
        <w:ind w:firstLine="600" w:firstLineChars="200"/>
        <w:jc w:val="left"/>
        <w:rPr>
          <w:rFonts w:ascii="黑体" w:hAnsi="黑体" w:eastAsia="黑体"/>
          <w:bCs/>
          <w:sz w:val="32"/>
          <w:szCs w:val="32"/>
        </w:rPr>
      </w:pPr>
      <w:r>
        <w:rPr>
          <w:rFonts w:hint="eastAsia" w:ascii="黑体" w:hAnsi="黑体" w:eastAsia="黑体"/>
          <w:bCs/>
          <w:sz w:val="30"/>
          <w:szCs w:val="30"/>
        </w:rPr>
        <w:t xml:space="preserve">(一）深入学习习近平新时代中国特色社会主义思想和党的十九大精神 </w:t>
      </w:r>
    </w:p>
    <w:p>
      <w:pPr>
        <w:widowControl/>
        <w:spacing w:line="560" w:lineRule="exact"/>
        <w:ind w:firstLine="600" w:firstLineChars="200"/>
        <w:jc w:val="left"/>
        <w:rPr>
          <w:rFonts w:ascii="仿宋_GB2312" w:eastAsia="仿宋_GB2312"/>
          <w:color w:val="FF0000"/>
          <w:sz w:val="30"/>
          <w:szCs w:val="30"/>
        </w:rPr>
      </w:pPr>
      <w:r>
        <w:rPr>
          <w:rFonts w:hint="eastAsia" w:ascii="仿宋_GB2312" w:eastAsia="仿宋_GB2312"/>
          <w:sz w:val="30"/>
          <w:szCs w:val="30"/>
        </w:rPr>
        <w:t>习近平新时代中国特色社会主义思想是马克思主义中国化的最新成果，是党和人民实践经验和集体智慧的结晶，是中国特色社会主义理论体系的重要组成部分，是全党全国人民为实现中华民族伟大复兴而奋斗的行动指南。坚持把深入学习习近平新时代中国特色社会主义思想作为首要政治任务，坚持读原著、学原文、悟原理，在学懂弄通做实上下功夫，以习近平新时代中国特色社会主义思想武装头脑、指导实践、推动工作。</w:t>
      </w:r>
      <w:r>
        <w:rPr>
          <w:rFonts w:hint="eastAsia" w:ascii="仿宋" w:hAnsi="仿宋" w:eastAsia="仿宋" w:cs="仿宋"/>
          <w:bCs/>
          <w:sz w:val="30"/>
          <w:szCs w:val="30"/>
        </w:rPr>
        <w:t>深入学习党的十九大精神，教育引导教职工提高政治站位，增强“四个意识”，</w:t>
      </w:r>
      <w:r>
        <w:rPr>
          <w:rFonts w:hint="eastAsia" w:ascii="仿宋_GB2312" w:eastAsia="仿宋_GB2312"/>
          <w:sz w:val="30"/>
          <w:szCs w:val="30"/>
        </w:rPr>
        <w:t>坚定</w:t>
      </w:r>
      <w:r>
        <w:rPr>
          <w:rFonts w:hint="eastAsia"/>
          <w:sz w:val="30"/>
          <w:szCs w:val="30"/>
        </w:rPr>
        <w:t>“</w:t>
      </w:r>
      <w:r>
        <w:rPr>
          <w:rFonts w:hint="eastAsia" w:ascii="仿宋_GB2312" w:eastAsia="仿宋_GB2312"/>
          <w:sz w:val="30"/>
          <w:szCs w:val="30"/>
        </w:rPr>
        <w:t>四个自信</w:t>
      </w:r>
      <w:r>
        <w:rPr>
          <w:rFonts w:hint="eastAsia"/>
          <w:sz w:val="30"/>
          <w:szCs w:val="30"/>
        </w:rPr>
        <w:t>”</w:t>
      </w:r>
      <w:r>
        <w:rPr>
          <w:rFonts w:hint="eastAsia" w:ascii="仿宋_GB2312" w:eastAsia="仿宋_GB2312"/>
          <w:sz w:val="30"/>
          <w:szCs w:val="30"/>
        </w:rPr>
        <w:t>，</w:t>
      </w:r>
      <w:r>
        <w:rPr>
          <w:rFonts w:hint="eastAsia" w:ascii="仿宋" w:hAnsi="仿宋" w:eastAsia="仿宋" w:cs="仿宋"/>
          <w:bCs/>
          <w:sz w:val="30"/>
          <w:szCs w:val="30"/>
        </w:rPr>
        <w:t>坚决做到“两个维护”，</w:t>
      </w:r>
      <w:r>
        <w:rPr>
          <w:rFonts w:hint="eastAsia" w:ascii="仿宋_GB2312" w:eastAsia="仿宋_GB2312"/>
          <w:sz w:val="30"/>
          <w:szCs w:val="30"/>
        </w:rPr>
        <w:t>以党的政治建设为统领,把党的十九大提出的各项目标任务落到实处，把成果转化为促进</w:t>
      </w:r>
      <w:r>
        <w:rPr>
          <w:rFonts w:hint="eastAsia" w:ascii="仿宋_GB2312" w:eastAsia="仿宋_GB2312"/>
          <w:sz w:val="30"/>
          <w:szCs w:val="30"/>
          <w:lang w:eastAsia="zh-CN"/>
        </w:rPr>
        <w:t>学院</w:t>
      </w:r>
      <w:r>
        <w:rPr>
          <w:rFonts w:hint="eastAsia" w:ascii="仿宋_GB2312" w:eastAsia="仿宋_GB2312"/>
          <w:sz w:val="30"/>
          <w:szCs w:val="30"/>
        </w:rPr>
        <w:t>发展的理论基础和具体行动，不断推进</w:t>
      </w:r>
      <w:r>
        <w:rPr>
          <w:rFonts w:hint="eastAsia" w:ascii="仿宋_GB2312" w:eastAsia="仿宋_GB2312"/>
          <w:sz w:val="30"/>
          <w:szCs w:val="30"/>
          <w:lang w:eastAsia="zh-CN"/>
        </w:rPr>
        <w:t>学院</w:t>
      </w:r>
      <w:r>
        <w:rPr>
          <w:rFonts w:hint="eastAsia" w:ascii="仿宋_GB2312" w:eastAsia="仿宋_GB2312"/>
          <w:sz w:val="30"/>
          <w:szCs w:val="30"/>
        </w:rPr>
        <w:t>各项事业健康发展。利用“学习强国”学习平台的推广使用，及时组织教职员工开展学习，让学习活动落地落实，不断增强道路自信、制度自信、理论自信和文化自信。</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（二）深入学习把握中央及省委重要工作部署</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深入学习全国和全省“两会”以及党建工作、组织工作、统战工作、宣传工作、经济工作、人才工作、教育工作、思想政治工作等重要会议精神，全面把握中央和省委对各领域工作的新部署新要求，及时掌握中央和省委对高等教育发展的新战略、新要求、新举措，切实把思想和行动统一到中央和省委的决策上来，把任务和要求落实到学校的具体工作中去。紧密联系</w:t>
      </w:r>
      <w:r>
        <w:rPr>
          <w:rFonts w:hint="eastAsia" w:ascii="仿宋_GB2312" w:eastAsia="仿宋_GB2312"/>
          <w:sz w:val="30"/>
          <w:szCs w:val="30"/>
          <w:lang w:eastAsia="zh-CN"/>
        </w:rPr>
        <w:t>学院</w:t>
      </w:r>
      <w:r>
        <w:rPr>
          <w:rFonts w:hint="eastAsia" w:ascii="仿宋_GB2312" w:eastAsia="仿宋_GB2312"/>
          <w:sz w:val="30"/>
          <w:szCs w:val="30"/>
        </w:rPr>
        <w:t>实际，结合学校“十三五”规划和2019年重点工作，进一步抢抓机遇，开拓进取，推动学校博士授权单位申报、综合改革等各项工作取得突破性进展, 奋力开创高水平有特色建筑大学建设的新篇章。</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（三）加强意识形态工作，增强着力防范化解重大风险意识，做好校园安全稳定工作</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深入学习领会习近平总书记在省部级主要领导干部坚持底线思维着力防范化解重大风险专题研讨班开班式上重要讲话精神，准确把握外部环境的深刻变化和改革发展稳定面临的新情况新问题新挑战，坚持底线思维，增强忧患意识，提高防控能力，加强安全教育，增强教职工安全意识和风险防范能力。加强意识形态领域情况的分析研判，及时了解掌握思想动向，加强网络舆情研判和应急处置。加强对课堂教学的管理，强化教师授课纪律。不断巩固马克思主义在意识形态领域的指导地位，充分发挥意识形态在凝聚思想、推动发展中的强大支撑作用，切实把</w:t>
      </w:r>
      <w:r>
        <w:rPr>
          <w:rFonts w:hint="eastAsia" w:ascii="仿宋_GB2312" w:eastAsia="仿宋_GB2312"/>
          <w:sz w:val="30"/>
          <w:szCs w:val="30"/>
          <w:lang w:eastAsia="zh-CN"/>
        </w:rPr>
        <w:t>学院</w:t>
      </w:r>
      <w:r>
        <w:rPr>
          <w:rFonts w:hint="eastAsia" w:ascii="仿宋_GB2312" w:eastAsia="仿宋_GB2312"/>
          <w:sz w:val="30"/>
          <w:szCs w:val="30"/>
        </w:rPr>
        <w:t>改革发展稳定各项工作做实做好。</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（四)学习领会习近平总书记在学校思想政治理论课座谈会上的重要讲话精神，强化思想理论教育和价值引领</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深入学习习近平总书记在学校思想政治理论课座谈会上的重要讲话精神，深刻认识上好思想政治理论课，最根本的是要全面贯彻党的教育方针，解决好培养什么人、怎样培养人、为谁培养人这个根本问题。思想政治理论课是落实立德树人根本任务的关键课程，要把理想信念教育放在首位，要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大力实施课程思政、专业思政工作，加强教师思想政治教育，挖掘课程思政元素，引导教师结合自身专业特点，将思想政治教育工作融入各类课程教学过程中，做好专业课程与思政理论相融合。不断加强培育和践行社会主义核心价值观，使社会主义核心价值观成为广大教职工普遍情感认同和自觉践行的价值准则行为习惯，把培育和践行社会主义核心价值观融入到人才培养全过程。</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（五）开展“不忘初心、牢记使命”主题教育</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根据中央、省委和教育部党组的安排部署，按照学校党委安排，做好“不忘初心、牢记使命”主题教育理论学习教育和宣传工作。坚持与“两学一做”学习教育常态化制度化相结合，有效推动主题教育深入开展、层层落实；坚持与教学科研等学校中心工作相结合，教育引导广大教职工不忘教育初心，牢记培育中国特色社会主义建设者和接班人使命，切实承担起立德树人光荣职责。</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（六）开展党章党规党史教育</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学党章党规，全面理解党的纲领，尊崇党章、遵守党章、维护党章，加强党性修养，学习党的理论、党的历史、党的知识，坚定理想信念，对党绝对忠诚，进一步增强政治意识、大局意识、核心意识、看齐意识，继承和发扬党的光荣传统与优良作风。重温我党团结带领全国各族人民谱写的光辉奋斗史、创业史和改革开放史，不断强化党性观念和党性修养，牢记党规党纪，牢记党的优良传统和作风，树立崇高道德追求，为实现“两个一百年”奋斗目标和建设高水平有特色</w:t>
      </w:r>
      <w:r>
        <w:rPr>
          <w:rFonts w:hint="eastAsia" w:ascii="仿宋_GB2312" w:eastAsia="仿宋_GB2312"/>
          <w:sz w:val="30"/>
          <w:szCs w:val="30"/>
          <w:lang w:eastAsia="zh-CN"/>
        </w:rPr>
        <w:t>学院</w:t>
      </w:r>
      <w:r>
        <w:rPr>
          <w:rFonts w:hint="eastAsia" w:ascii="仿宋_GB2312" w:eastAsia="仿宋_GB2312"/>
          <w:sz w:val="30"/>
          <w:szCs w:val="30"/>
        </w:rPr>
        <w:t>提供坚强的组织保证和根本力量。</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（七）开展全面从严治党和党风廉政建设教育</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深入学习领会习近平总书记在十九届中央纪委三次全会上的重要讲话精神，充分认识党的十九大以来全面从严治党取得新的重大成果，根据学校《2019年全面从严治党工作要点》，认真落实全面从严治党领导责任和政治责任。深入贯彻《关于新形势下党内政治生活的若干准则》、《中国共产党党内监督条例》、严格执行《中国共产党问责条例》、《中国共产党纪律处分条例》，严肃党内政治生活，使</w:t>
      </w:r>
      <w:r>
        <w:rPr>
          <w:rFonts w:hint="eastAsia" w:ascii="仿宋_GB2312" w:eastAsia="仿宋_GB2312"/>
          <w:sz w:val="30"/>
          <w:szCs w:val="30"/>
          <w:lang w:eastAsia="zh-CN"/>
        </w:rPr>
        <w:t>学院</w:t>
      </w:r>
      <w:r>
        <w:rPr>
          <w:rFonts w:hint="eastAsia" w:ascii="仿宋_GB2312" w:eastAsia="仿宋_GB2312"/>
          <w:sz w:val="30"/>
          <w:szCs w:val="30"/>
        </w:rPr>
        <w:t>教职工进一步增强政治意识、责任意识、廉洁意识，为</w:t>
      </w:r>
      <w:r>
        <w:rPr>
          <w:rFonts w:hint="eastAsia" w:ascii="仿宋_GB2312" w:eastAsia="仿宋_GB2312"/>
          <w:sz w:val="30"/>
          <w:szCs w:val="30"/>
          <w:lang w:eastAsia="zh-CN"/>
        </w:rPr>
        <w:t>学院</w:t>
      </w:r>
      <w:r>
        <w:rPr>
          <w:rFonts w:hint="eastAsia" w:ascii="仿宋_GB2312" w:eastAsia="仿宋_GB2312"/>
          <w:sz w:val="30"/>
          <w:szCs w:val="30"/>
        </w:rPr>
        <w:t>各项事业健康发展提供坚强保障。</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（八）学习习近平总书记在庆祝中华人民共和国成立70周年大会上的重要讲话精神</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深刻把握习近平总书记重要讲话的重大意义和深刻内涵，回顾党的光辉历史和共和国光辉历程,总结70年辉煌成就和宝贵经验，坚定对马克思主义的信仰、对中国特色社会主义的信念、对实现中华民族伟大复兴中国梦的信心。以庆祝新中国成立70周年为契机，增加广大教职工爱国热情，坚定信心、接续奋斗，脚踏实地、苦干实干，牢牢把握意识形态的领导权和主动权。</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（九）学习领会习近平总书记关于教育工作的重要论述,学习教育政策和相关法律法规</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深入学习习近平总书记关于教育工作的重要论述和全国教育大会精神，落实《关于开展全国教育大会精神宣讲对谈实施方案》要求，围绕创新型国家建设和安徽省科教兴皖、人才强省战略，以立德树人为根本任务，以“增强学生实践能力、创新创业精神、社会责任感”为主线，全面提升人才培养能力，深化“实践教育、创新创业教育、社会责任教育”三位一体教学体制和机制改革，努力构建具有鲜明特色的人才培养体系，培养德智体美劳全面发展的社会主义建设者和接班人。认真学习以《宪法》为核心的中国特色社会主义法律法规，学习《中华人民共和国教育法》、《中华人民共和国高等教育法》和《高等学校学术委员会规程》等与学校建设紧密相关的法律知识，认真贯彻落实“七五”普法规划，以《安徽建筑大学章程》为准则，积极运用法治思维、法治方式推动工作，提高依法治</w:t>
      </w:r>
      <w:r>
        <w:rPr>
          <w:rFonts w:hint="eastAsia" w:ascii="仿宋_GB2312" w:eastAsia="仿宋_GB2312"/>
          <w:sz w:val="30"/>
          <w:szCs w:val="30"/>
          <w:lang w:eastAsia="zh-CN"/>
        </w:rPr>
        <w:t>院</w:t>
      </w:r>
      <w:r>
        <w:rPr>
          <w:rFonts w:hint="eastAsia" w:ascii="仿宋_GB2312" w:eastAsia="仿宋_GB2312"/>
          <w:sz w:val="30"/>
          <w:szCs w:val="30"/>
        </w:rPr>
        <w:t>、依法执教和依规办学能力，加大规章制度的执行力度，为</w:t>
      </w:r>
      <w:r>
        <w:rPr>
          <w:rFonts w:hint="eastAsia" w:ascii="仿宋_GB2312" w:eastAsia="仿宋_GB2312"/>
          <w:sz w:val="30"/>
          <w:szCs w:val="30"/>
          <w:lang w:eastAsia="zh-CN"/>
        </w:rPr>
        <w:t>学院</w:t>
      </w:r>
      <w:r>
        <w:rPr>
          <w:rFonts w:hint="eastAsia" w:ascii="仿宋_GB2312" w:eastAsia="仿宋_GB2312"/>
          <w:sz w:val="30"/>
          <w:szCs w:val="30"/>
        </w:rPr>
        <w:t>综合改革提供法治支撑。</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二、学习要求</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1．坚持学习制度，实行规范管理</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lang w:eastAsia="zh-CN"/>
        </w:rPr>
        <w:t>学院</w:t>
      </w:r>
      <w:r>
        <w:rPr>
          <w:rFonts w:hint="eastAsia" w:ascii="仿宋_GB2312" w:eastAsia="仿宋_GB2312"/>
          <w:sz w:val="30"/>
          <w:szCs w:val="30"/>
        </w:rPr>
        <w:t>党委制定</w:t>
      </w:r>
      <w:r>
        <w:rPr>
          <w:rFonts w:hint="eastAsia" w:ascii="仿宋_GB2312" w:eastAsia="仿宋_GB2312"/>
          <w:sz w:val="30"/>
          <w:szCs w:val="30"/>
          <w:lang w:eastAsia="zh-CN"/>
        </w:rPr>
        <w:t>的</w:t>
      </w:r>
      <w:r>
        <w:rPr>
          <w:rFonts w:hint="eastAsia" w:ascii="仿宋_GB2312" w:eastAsia="仿宋_GB2312"/>
          <w:sz w:val="30"/>
          <w:szCs w:val="30"/>
        </w:rPr>
        <w:t>学习计划，坚持教职工理论学习制度，组织好教职工政治理论学习；要认真做好学习考勤、学习记录等有关材料的保存归档工作，建立健全学习档案。</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2．创新载体形式，提升学习动力</w:t>
      </w:r>
    </w:p>
    <w:p>
      <w:pPr>
        <w:adjustRightInd w:val="0"/>
        <w:snapToGrid w:val="0"/>
        <w:spacing w:line="560" w:lineRule="exact"/>
        <w:ind w:firstLine="600" w:firstLineChars="200"/>
        <w:jc w:val="left"/>
        <w:rPr>
          <w:rFonts w:ascii="仿宋_GB2312" w:eastAsia="仿宋_GB2312"/>
          <w:sz w:val="32"/>
          <w:szCs w:val="32"/>
        </w:rPr>
      </w:pPr>
      <w:r>
        <w:rPr>
          <w:rFonts w:hint="eastAsia" w:ascii="仿宋_GB2312" w:eastAsia="仿宋_GB2312"/>
          <w:sz w:val="30"/>
          <w:szCs w:val="30"/>
        </w:rPr>
        <w:t>要创新学习形式，运用专题讲座、学习交流、观看音像资料等各种有效学习载体，开展生动多样、富有特色的理论学习活动，增强政治理论学习的吸引力与感染力，提高教职工参与政治理论学习的兴趣和热情。</w:t>
      </w:r>
    </w:p>
    <w:p>
      <w:pPr>
        <w:widowControl/>
        <w:spacing w:line="560" w:lineRule="exact"/>
        <w:ind w:firstLine="600" w:firstLineChars="200"/>
        <w:jc w:val="left"/>
        <w:rPr>
          <w:rFonts w:hint="eastAsia" w:ascii="黑体" w:hAnsi="黑体" w:eastAsia="黑体"/>
          <w:bCs/>
          <w:sz w:val="30"/>
          <w:szCs w:val="30"/>
        </w:rPr>
      </w:pPr>
      <w:r>
        <w:rPr>
          <w:rFonts w:hint="eastAsia" w:ascii="黑体" w:hAnsi="黑体" w:eastAsia="黑体"/>
          <w:bCs/>
          <w:sz w:val="30"/>
          <w:szCs w:val="30"/>
        </w:rPr>
        <w:t>3．结合工作实际，增强学习实效</w:t>
      </w:r>
    </w:p>
    <w:p>
      <w:pPr>
        <w:widowControl/>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要坚持理论学习同本单位的教学科研、管理服务工作实际结合，与教职工思想动态相结合，把学习成果转化为工作动力，不断提高教书育人、管理育人、服务育人的能力，推进</w:t>
      </w:r>
      <w:r>
        <w:rPr>
          <w:rFonts w:hint="eastAsia" w:ascii="仿宋_GB2312" w:eastAsia="仿宋_GB2312"/>
          <w:sz w:val="30"/>
          <w:szCs w:val="30"/>
          <w:lang w:eastAsia="zh-CN"/>
        </w:rPr>
        <w:t>学院</w:t>
      </w:r>
      <w:r>
        <w:rPr>
          <w:rFonts w:hint="eastAsia" w:ascii="仿宋_GB2312" w:eastAsia="仿宋_GB2312"/>
          <w:sz w:val="30"/>
          <w:szCs w:val="30"/>
        </w:rPr>
        <w:t>各项工作的顺利开展。</w:t>
      </w:r>
    </w:p>
    <w:p>
      <w:pPr>
        <w:widowControl/>
        <w:spacing w:line="560" w:lineRule="exact"/>
        <w:ind w:firstLine="600" w:firstLineChars="200"/>
        <w:jc w:val="left"/>
        <w:rPr>
          <w:rFonts w:hint="eastAsia" w:ascii="仿宋_GB2312" w:eastAsia="仿宋_GB2312"/>
          <w:sz w:val="30"/>
          <w:szCs w:val="30"/>
        </w:rPr>
      </w:pPr>
    </w:p>
    <w:p>
      <w:pPr>
        <w:widowControl/>
        <w:spacing w:line="560" w:lineRule="exact"/>
        <w:ind w:firstLine="600" w:firstLineChars="200"/>
        <w:jc w:val="left"/>
        <w:rPr>
          <w:rFonts w:hint="eastAsia" w:ascii="仿宋_GB2312" w:eastAsia="仿宋_GB2312"/>
          <w:sz w:val="30"/>
          <w:szCs w:val="30"/>
        </w:rPr>
      </w:pPr>
    </w:p>
    <w:p>
      <w:pPr>
        <w:widowControl/>
        <w:spacing w:line="560" w:lineRule="exact"/>
        <w:ind w:firstLine="600" w:firstLineChars="200"/>
        <w:jc w:val="center"/>
        <w:rPr>
          <w:rFonts w:hint="eastAsia" w:ascii="仿宋_GB2312" w:eastAsia="仿宋_GB2312"/>
          <w:sz w:val="30"/>
          <w:szCs w:val="30"/>
          <w:lang w:eastAsia="zh-CN"/>
        </w:rPr>
      </w:pPr>
      <w:r>
        <w:rPr>
          <w:rFonts w:hint="eastAsia" w:ascii="仿宋_GB2312" w:eastAsia="仿宋_GB2312"/>
          <w:sz w:val="30"/>
          <w:szCs w:val="30"/>
          <w:lang w:eastAsia="zh-CN"/>
        </w:rPr>
        <w:t>中共安徽建筑大学经济与管理学院委员会</w:t>
      </w:r>
    </w:p>
    <w:p>
      <w:pPr>
        <w:widowControl/>
        <w:spacing w:line="560" w:lineRule="exact"/>
        <w:ind w:firstLine="600" w:firstLineChars="20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2019年4月18日</w:t>
      </w:r>
    </w:p>
    <w:p/>
    <w:p/>
    <w:p>
      <w:pPr>
        <w:widowControl/>
        <w:spacing w:line="560" w:lineRule="exact"/>
        <w:ind w:firstLine="640" w:firstLineChars="200"/>
        <w:jc w:val="left"/>
        <w:rPr>
          <w:rFonts w:hint="eastAsia" w:ascii="仿宋_GB2312" w:hAnsi="宋体" w:eastAsia="仿宋_GB2312"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347A4"/>
    <w:rsid w:val="03603054"/>
    <w:rsid w:val="09A6422A"/>
    <w:rsid w:val="68CF7098"/>
    <w:rsid w:val="7CA3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afterLines="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2019-04-19T05:51:00Z</dcterms:created>
  <dc:creator>DELL</dc:creator>
  <cp:lastModifiedBy>DELL</cp:lastModifiedBy>
  <dcterms:modified xsi:type="dcterms:W3CDTF">2019-04-22T06:08:40Z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